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70" w:type="dxa"/>
          <w:right w:w="70" w:type="dxa"/>
        </w:tblCellMar>
        <w:tblLook w:val="04A0" w:firstRow="1" w:lastRow="0" w:firstColumn="1" w:lastColumn="0" w:noHBand="0" w:noVBand="1"/>
      </w:tblPr>
      <w:tblGrid>
        <w:gridCol w:w="3446"/>
        <w:gridCol w:w="2416"/>
        <w:gridCol w:w="3210"/>
      </w:tblGrid>
      <w:tr w:rsidR="00E10CE2" w:rsidRPr="00DD04AE" w:rsidTr="00FD2D80">
        <w:trPr>
          <w:trHeight w:val="270"/>
        </w:trPr>
        <w:tc>
          <w:tcPr>
            <w:tcW w:w="0" w:type="auto"/>
            <w:gridSpan w:val="3"/>
            <w:tcBorders>
              <w:top w:val="nil"/>
              <w:left w:val="nil"/>
              <w:right w:val="nil"/>
            </w:tcBorders>
            <w:shd w:val="clear" w:color="auto" w:fill="auto"/>
            <w:noWrap/>
            <w:vAlign w:val="bottom"/>
          </w:tcPr>
          <w:p w:rsidR="00E10CE2" w:rsidRDefault="00E10CE2" w:rsidP="00E10CE2">
            <w:pPr>
              <w:spacing w:after="0" w:line="240" w:lineRule="auto"/>
              <w:jc w:val="right"/>
              <w:rPr>
                <w:rFonts w:ascii="Times New Roman" w:eastAsia="Times New Roman" w:hAnsi="Times New Roman" w:cs="Times New Roman"/>
                <w:i/>
                <w:iCs/>
                <w:sz w:val="24"/>
                <w:szCs w:val="24"/>
                <w:lang w:eastAsia="hu-HU"/>
              </w:rPr>
            </w:pPr>
            <w:r w:rsidRPr="00DC4289">
              <w:rPr>
                <w:rFonts w:ascii="Times New Roman" w:eastAsia="Times New Roman" w:hAnsi="Times New Roman" w:cs="Times New Roman"/>
                <w:i/>
                <w:iCs/>
                <w:sz w:val="24"/>
                <w:szCs w:val="24"/>
                <w:lang w:eastAsia="hu-HU"/>
              </w:rPr>
              <w:t>2. függelék a</w:t>
            </w:r>
            <w:r w:rsidR="004662F8">
              <w:rPr>
                <w:rFonts w:ascii="Times New Roman" w:eastAsia="Times New Roman" w:hAnsi="Times New Roman" w:cs="Times New Roman"/>
                <w:i/>
                <w:iCs/>
                <w:sz w:val="24"/>
                <w:szCs w:val="24"/>
                <w:lang w:eastAsia="hu-HU"/>
              </w:rPr>
              <w:t>(z)</w:t>
            </w:r>
            <w:r w:rsidRPr="00DC4289">
              <w:rPr>
                <w:rFonts w:ascii="Times New Roman" w:eastAsia="Times New Roman" w:hAnsi="Times New Roman" w:cs="Times New Roman"/>
                <w:i/>
                <w:iCs/>
                <w:sz w:val="24"/>
                <w:szCs w:val="24"/>
                <w:lang w:eastAsia="hu-HU"/>
              </w:rPr>
              <w:t xml:space="preserve"> …</w:t>
            </w:r>
            <w:r w:rsidR="00774F1A">
              <w:rPr>
                <w:rFonts w:ascii="Times New Roman" w:eastAsia="Times New Roman" w:hAnsi="Times New Roman" w:cs="Times New Roman"/>
                <w:i/>
                <w:iCs/>
                <w:sz w:val="24"/>
                <w:szCs w:val="24"/>
                <w:lang w:eastAsia="hu-HU"/>
              </w:rPr>
              <w:t xml:space="preserve"> </w:t>
            </w:r>
            <w:r w:rsidRPr="00DC4289">
              <w:rPr>
                <w:rFonts w:ascii="Times New Roman" w:eastAsia="Times New Roman" w:hAnsi="Times New Roman" w:cs="Times New Roman"/>
                <w:i/>
                <w:iCs/>
                <w:sz w:val="24"/>
                <w:szCs w:val="24"/>
                <w:lang w:eastAsia="hu-HU"/>
              </w:rPr>
              <w:t>/2024. (…</w:t>
            </w:r>
            <w:r w:rsidR="00774F1A">
              <w:rPr>
                <w:rFonts w:ascii="Times New Roman" w:eastAsia="Times New Roman" w:hAnsi="Times New Roman" w:cs="Times New Roman"/>
                <w:i/>
                <w:iCs/>
                <w:sz w:val="24"/>
                <w:szCs w:val="24"/>
                <w:lang w:eastAsia="hu-HU"/>
              </w:rPr>
              <w:t xml:space="preserve"> ...</w:t>
            </w:r>
            <w:r w:rsidRPr="00DC4289">
              <w:rPr>
                <w:rFonts w:ascii="Times New Roman" w:eastAsia="Times New Roman" w:hAnsi="Times New Roman" w:cs="Times New Roman"/>
                <w:i/>
                <w:iCs/>
                <w:sz w:val="24"/>
                <w:szCs w:val="24"/>
                <w:lang w:eastAsia="hu-HU"/>
              </w:rPr>
              <w:t xml:space="preserve">) BM OKF utasítás </w:t>
            </w:r>
            <w:r w:rsidR="00774F1A">
              <w:rPr>
                <w:rFonts w:ascii="Times New Roman" w:eastAsia="Times New Roman" w:hAnsi="Times New Roman" w:cs="Times New Roman"/>
                <w:i/>
                <w:iCs/>
                <w:sz w:val="24"/>
                <w:szCs w:val="24"/>
                <w:lang w:eastAsia="hu-HU"/>
              </w:rPr>
              <w:t>M</w:t>
            </w:r>
            <w:r w:rsidRPr="00DC4289">
              <w:rPr>
                <w:rFonts w:ascii="Times New Roman" w:eastAsia="Times New Roman" w:hAnsi="Times New Roman" w:cs="Times New Roman"/>
                <w:i/>
                <w:iCs/>
                <w:sz w:val="24"/>
                <w:szCs w:val="24"/>
                <w:lang w:eastAsia="hu-HU"/>
              </w:rPr>
              <w:t>ellékletéhez</w:t>
            </w:r>
          </w:p>
          <w:p w:rsidR="00774F1A" w:rsidRPr="00DC4289" w:rsidRDefault="00774F1A" w:rsidP="00E10CE2">
            <w:pPr>
              <w:spacing w:after="0" w:line="240" w:lineRule="auto"/>
              <w:jc w:val="right"/>
              <w:rPr>
                <w:rFonts w:ascii="Times New Roman" w:eastAsia="Times New Roman" w:hAnsi="Times New Roman" w:cs="Times New Roman"/>
                <w:i/>
                <w:iCs/>
                <w:sz w:val="24"/>
                <w:szCs w:val="24"/>
                <w:lang w:eastAsia="hu-HU"/>
              </w:rPr>
            </w:pPr>
          </w:p>
        </w:tc>
      </w:tr>
      <w:tr w:rsidR="00E10CE2" w:rsidRPr="00DD04AE" w:rsidTr="00FD2D80">
        <w:trPr>
          <w:trHeight w:val="270"/>
        </w:trPr>
        <w:tc>
          <w:tcPr>
            <w:tcW w:w="0" w:type="auto"/>
            <w:gridSpan w:val="3"/>
            <w:tcBorders>
              <w:bottom w:val="single" w:sz="8" w:space="0" w:color="000000"/>
            </w:tcBorders>
            <w:shd w:val="clear" w:color="auto" w:fill="auto"/>
            <w:noWrap/>
            <w:vAlign w:val="bottom"/>
            <w:hideMark/>
          </w:tcPr>
          <w:p w:rsidR="00990E74" w:rsidRDefault="00990E74" w:rsidP="004662F8">
            <w:pPr>
              <w:spacing w:after="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w:t>
            </w:r>
            <w:r w:rsidR="00E10CE2" w:rsidRPr="004662F8">
              <w:rPr>
                <w:rFonts w:eastAsia="Times New Roman" w:cstheme="minorHAnsi"/>
                <w:b/>
                <w:iCs/>
                <w:sz w:val="24"/>
                <w:szCs w:val="24"/>
                <w:lang w:eastAsia="hu-HU"/>
              </w:rPr>
              <w:t>6. függelék</w:t>
            </w:r>
            <w:r w:rsidR="00E10CE2" w:rsidRPr="00DC4289">
              <w:rPr>
                <w:rFonts w:ascii="Times New Roman" w:eastAsia="Times New Roman" w:hAnsi="Times New Roman" w:cs="Times New Roman"/>
                <w:i/>
                <w:iCs/>
                <w:sz w:val="24"/>
                <w:szCs w:val="24"/>
                <w:lang w:eastAsia="hu-HU"/>
              </w:rPr>
              <w:t xml:space="preserve"> </w:t>
            </w:r>
          </w:p>
          <w:p w:rsidR="00E10CE2" w:rsidRPr="00DC4289" w:rsidRDefault="00E10CE2" w:rsidP="004662F8">
            <w:pPr>
              <w:spacing w:after="0" w:line="240" w:lineRule="auto"/>
              <w:jc w:val="center"/>
              <w:rPr>
                <w:rFonts w:ascii="Times New Roman" w:eastAsia="Times New Roman" w:hAnsi="Times New Roman" w:cs="Times New Roman"/>
                <w:i/>
                <w:iCs/>
                <w:sz w:val="24"/>
                <w:szCs w:val="24"/>
                <w:lang w:eastAsia="hu-HU"/>
              </w:rPr>
            </w:pPr>
          </w:p>
        </w:tc>
      </w:tr>
      <w:tr w:rsidR="00E10CE2" w:rsidRPr="00DD04AE" w:rsidTr="00FD2D80">
        <w:trPr>
          <w:trHeight w:val="255"/>
        </w:trPr>
        <w:tc>
          <w:tcPr>
            <w:tcW w:w="0" w:type="auto"/>
            <w:tcBorders>
              <w:top w:val="nil"/>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 Adat</w:t>
            </w:r>
          </w:p>
        </w:tc>
        <w:tc>
          <w:tcPr>
            <w:tcW w:w="0" w:type="auto"/>
            <w:tcBorders>
              <w:top w:val="nil"/>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Frissítés</w:t>
            </w:r>
          </w:p>
        </w:tc>
        <w:tc>
          <w:tcPr>
            <w:tcW w:w="0" w:type="auto"/>
            <w:tcBorders>
              <w:top w:val="nil"/>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Megőrzés</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Általános közzétételi lista</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 Szervezeti, személyzeti adatok</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Kapcsolat, szervezet, vezetők</w:t>
            </w:r>
          </w:p>
        </w:tc>
      </w:tr>
      <w:tr w:rsidR="00E10CE2" w:rsidRPr="00DD04AE" w:rsidTr="00FD2D80">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Elérhetőségi adatok:</w:t>
            </w:r>
            <w:r w:rsidRPr="00DD04AE">
              <w:rPr>
                <w:rFonts w:ascii="Times New Roman" w:eastAsia="Times New Roman" w:hAnsi="Times New Roman" w:cs="Times New Roman"/>
                <w:sz w:val="20"/>
                <w:szCs w:val="20"/>
                <w:lang w:eastAsia="hu-HU"/>
              </w:rPr>
              <w:t xml:space="preserve"> A közfeladatot ellátó szerv hivatalos neve, székhelye, postai címe, telefon- és telefaxszáma, elektronikus levélcíme, honlapja, ügyfélszolgálatának elérhetőségei</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10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Ügyfélfogadás:</w:t>
            </w:r>
            <w:r w:rsidRPr="00DD04AE">
              <w:rPr>
                <w:rFonts w:ascii="Times New Roman" w:eastAsia="Times New Roman" w:hAnsi="Times New Roman" w:cs="Times New Roman"/>
                <w:sz w:val="20"/>
                <w:szCs w:val="20"/>
                <w:lang w:eastAsia="hu-HU"/>
              </w:rPr>
              <w:t xml:space="preserve"> A szervezeten belül illetékes ügyfélkapcsolati vezető neve, elérhetősége (telefon- és telefaxszáma, elektronikus levélcíme) és az ügyfélfogadási rend</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10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Szervezeti struktúra:</w:t>
            </w:r>
            <w:r w:rsidRPr="00DD04AE">
              <w:rPr>
                <w:rFonts w:ascii="Times New Roman" w:eastAsia="Times New Roman" w:hAnsi="Times New Roman" w:cs="Times New Roman"/>
                <w:sz w:val="20"/>
                <w:szCs w:val="20"/>
                <w:lang w:eastAsia="hu-HU"/>
              </w:rPr>
              <w:t xml:space="preserve">  A közfeladatot ellátó szerv szervezeti felépítése szervezeti egységek és vezetőik megjelölésével, az egyes szervezeti egységek feladatai</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136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szerv vezetői:</w:t>
            </w:r>
            <w:r w:rsidRPr="00DD04AE">
              <w:rPr>
                <w:rFonts w:ascii="Times New Roman" w:eastAsia="Times New Roman" w:hAnsi="Times New Roman" w:cs="Times New Roman"/>
                <w:sz w:val="20"/>
                <w:szCs w:val="20"/>
                <w:lang w:eastAsia="hu-HU"/>
              </w:rPr>
              <w:t xml:space="preserve"> A szerv vezetőinek és az egyes szervezeti egységek vezetőinek neve, beosztása, elérhetősége (telefon- és telefaxszáma, elektronikus levélcíme)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28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Felügyelt költségvetési szervek</w:t>
            </w:r>
          </w:p>
        </w:tc>
      </w:tr>
      <w:tr w:rsidR="00E10CE2" w:rsidRPr="00DD04AE" w:rsidTr="00FD2D80">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közfeladatot ellátó szerv irányítása, felügyelete vagy ellenőrzése alatt álló, vagy alárendeltségében működő más közfeladatot ellátó szervek</w:t>
            </w:r>
            <w:r w:rsidRPr="00DD04AE">
              <w:rPr>
                <w:rFonts w:ascii="Times New Roman" w:eastAsia="Times New Roman" w:hAnsi="Times New Roman" w:cs="Times New Roman"/>
                <w:sz w:val="20"/>
                <w:szCs w:val="20"/>
                <w:lang w:eastAsia="hu-HU"/>
              </w:rPr>
              <w:t xml:space="preserve"> megnevezése, és elérhetőségi adatai</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281627">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w:t>
            </w:r>
            <w:r w:rsidR="007F480A">
              <w:rPr>
                <w:rFonts w:ascii="Arial CE" w:eastAsia="Times New Roman" w:hAnsi="Arial CE" w:cs="Times New Roman"/>
                <w:b/>
                <w:bCs/>
                <w:sz w:val="20"/>
                <w:szCs w:val="20"/>
                <w:lang w:eastAsia="hu-HU"/>
              </w:rPr>
              <w:t>d</w:t>
            </w:r>
            <w:r w:rsidRPr="00DD04AE">
              <w:rPr>
                <w:rFonts w:ascii="Arial CE" w:eastAsia="Times New Roman" w:hAnsi="Arial CE" w:cs="Times New Roman"/>
                <w:b/>
                <w:bCs/>
                <w:sz w:val="20"/>
                <w:szCs w:val="20"/>
                <w:lang w:eastAsia="hu-HU"/>
              </w:rPr>
              <w:t>ó szervezetek</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 tekintetében nem releváns</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Lapok</w:t>
            </w:r>
          </w:p>
        </w:tc>
      </w:tr>
      <w:tr w:rsidR="00E10CE2" w:rsidRPr="00DD04AE" w:rsidTr="00FD2D80">
        <w:trPr>
          <w:trHeight w:val="998"/>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alapított lapok neve, a szerkesztőség és kiadó neve és címe, valamint a főszerkesztő neve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34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Felettes, felügyeleti, törvényességi ellenőrzést vagy felügyeletet gyakorló szerv</w:t>
            </w:r>
          </w:p>
        </w:tc>
      </w:tr>
      <w:tr w:rsidR="00E10CE2" w:rsidRPr="00DD04AE" w:rsidTr="00FD2D80">
        <w:trPr>
          <w:trHeight w:val="220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 elérhetőségi adatai, ügyfélszolgálatának, közönségkapcsolatának elérhetőségi adatai</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Költségvetési szervek</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a … tekintetében nem releváns</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II. Tevékenységre, működésre vonatkozó adatok</w:t>
            </w:r>
          </w:p>
        </w:tc>
      </w:tr>
      <w:tr w:rsidR="00E10CE2" w:rsidRPr="00DD04AE" w:rsidTr="00FD2D80">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A szerv alaptevékenysége, feladat- és hatásköre:</w:t>
            </w:r>
            <w:r w:rsidRPr="00DD04AE">
              <w:rPr>
                <w:rFonts w:ascii="Times New Roman" w:eastAsia="Times New Roman" w:hAnsi="Times New Roman" w:cs="Times New Roman"/>
                <w:sz w:val="20"/>
                <w:szCs w:val="20"/>
                <w:lang w:eastAsia="hu-HU"/>
              </w:rPr>
              <w:t xml:space="preserve"> 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555"/>
        </w:trPr>
        <w:tc>
          <w:tcPr>
            <w:tcW w:w="0" w:type="auto"/>
            <w:tcBorders>
              <w:top w:val="nil"/>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b/>
                <w:bCs/>
                <w:color w:val="969696"/>
                <w:sz w:val="20"/>
                <w:szCs w:val="20"/>
                <w:lang w:eastAsia="hu-HU"/>
              </w:rPr>
            </w:pPr>
            <w:r w:rsidRPr="00DD04AE">
              <w:rPr>
                <w:rFonts w:ascii="Times New Roman" w:eastAsia="Times New Roman" w:hAnsi="Times New Roman" w:cs="Times New Roman"/>
                <w:b/>
                <w:bCs/>
                <w:color w:val="969696"/>
                <w:sz w:val="20"/>
                <w:szCs w:val="20"/>
                <w:lang w:eastAsia="hu-HU"/>
              </w:rPr>
              <w:t>A tevékenységéről szóló tájékoztató</w:t>
            </w:r>
            <w:r w:rsidRPr="00DD04AE">
              <w:rPr>
                <w:rFonts w:ascii="Times New Roman" w:eastAsia="Times New Roman" w:hAnsi="Times New Roman" w:cs="Times New Roman"/>
                <w:color w:val="969696"/>
                <w:sz w:val="20"/>
                <w:szCs w:val="20"/>
                <w:lang w:eastAsia="hu-HU"/>
              </w:rPr>
              <w:t xml:space="preserve"> magyar és angol nyelven</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color w:val="969696"/>
                <w:sz w:val="20"/>
                <w:szCs w:val="20"/>
                <w:lang w:eastAsia="hu-HU"/>
              </w:rPr>
            </w:pPr>
            <w:r w:rsidRPr="00DD04AE">
              <w:rPr>
                <w:rFonts w:ascii="Times New Roman" w:eastAsia="Times New Roman" w:hAnsi="Times New Roman" w:cs="Times New Roman"/>
                <w:color w:val="969696"/>
                <w:sz w:val="20"/>
                <w:szCs w:val="20"/>
                <w:lang w:eastAsia="hu-HU"/>
              </w:rPr>
              <w:t>A BM OKF tekintetében kötelezően közzéteendő adat, területi szinten az általános közzétételi listának nem kötelező eleme</w:t>
            </w:r>
          </w:p>
        </w:tc>
      </w:tr>
      <w:tr w:rsidR="00E10CE2" w:rsidRPr="00DD04AE" w:rsidTr="00FD2D80">
        <w:trPr>
          <w:trHeight w:val="56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A hatósági ügyek intézésének rendjével kapcsolatos adatok: </w:t>
            </w:r>
            <w:r w:rsidRPr="00DD04AE">
              <w:rPr>
                <w:rFonts w:ascii="Times New Roman" w:eastAsia="Times New Roman" w:hAnsi="Times New Roman" w:cs="Times New Roman"/>
                <w:sz w:val="20"/>
                <w:szCs w:val="20"/>
                <w:lang w:eastAsia="hu-HU"/>
              </w:rPr>
              <w:t>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270"/>
        </w:trPr>
        <w:tc>
          <w:tcPr>
            <w:tcW w:w="0" w:type="auto"/>
            <w:tcBorders>
              <w:top w:val="nil"/>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Közszolgáltatások</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E10CE2" w:rsidRPr="00DD04AE" w:rsidTr="00FD2D80">
        <w:trPr>
          <w:trHeight w:val="30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A ... nyilvántartásai:</w:t>
            </w:r>
            <w:r w:rsidRPr="00DD04AE">
              <w:rPr>
                <w:rFonts w:ascii="Times New Roman" w:eastAsia="Times New Roman" w:hAnsi="Times New Roman" w:cs="Times New Roman"/>
                <w:sz w:val="20"/>
                <w:szCs w:val="20"/>
                <w:lang w:eastAsia="hu-HU"/>
              </w:rPr>
              <w:t xml:space="preserve"> A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Nyilvános kiadványok:</w:t>
            </w:r>
            <w:r w:rsidRPr="00DD04AE">
              <w:rPr>
                <w:rFonts w:ascii="Times New Roman" w:eastAsia="Times New Roman" w:hAnsi="Times New Roman" w:cs="Times New Roman"/>
                <w:sz w:val="20"/>
                <w:szCs w:val="20"/>
                <w:lang w:eastAsia="hu-HU"/>
              </w:rPr>
              <w:t xml:space="preserve"> A közfeladatot ellátó szerv nyilvános kiadványainak címe, témája, a hozzáférés módja, a kiadvány ingyenessége, illetve a költségtérítés mértéke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27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Döntéshozatal, ülések</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E10CE2" w:rsidRPr="00DD04AE" w:rsidTr="00FD2D80">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A szerv döntései, koncepciók, tervezetek, javaslatok</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E10CE2" w:rsidRPr="00DD04AE" w:rsidTr="00FD2D80">
        <w:trPr>
          <w:trHeight w:val="154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A helyi önkormányzat képviselő-testületének nyilvános ülésére benyújtott előterjesztések a benyújtás időpontjától.</w:t>
            </w:r>
            <w:r w:rsidRPr="00DD04AE">
              <w:rPr>
                <w:rFonts w:ascii="Times New Roman" w:eastAsia="Times New Roman" w:hAnsi="Times New Roman" w:cs="Times New Roman"/>
                <w:b/>
                <w:bCs/>
                <w:color w:val="808080"/>
                <w:sz w:val="20"/>
                <w:szCs w:val="20"/>
                <w:lang w:eastAsia="hu-HU"/>
              </w:rPr>
              <w:br/>
              <w:t>Összefoglaló a véleményezők észrevételeiről, és az észrevételek elutasításának indokairól</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E10CE2" w:rsidRPr="00DD04AE" w:rsidTr="00FD2D80">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w:t>
            </w:r>
            <w:r w:rsidRPr="00DD04AE">
              <w:rPr>
                <w:rFonts w:ascii="Times New Roman" w:eastAsia="Times New Roman" w:hAnsi="Times New Roman" w:cs="Times New Roman"/>
                <w:b/>
                <w:bCs/>
                <w:sz w:val="20"/>
                <w:szCs w:val="20"/>
                <w:lang w:eastAsia="hu-HU"/>
              </w:rPr>
              <w:t xml:space="preserve">Pályázatok: </w:t>
            </w:r>
            <w:r w:rsidRPr="00DD04AE">
              <w:rPr>
                <w:rFonts w:ascii="Times New Roman" w:eastAsia="Times New Roman" w:hAnsi="Times New Roman" w:cs="Times New Roman"/>
                <w:sz w:val="20"/>
                <w:szCs w:val="20"/>
                <w:lang w:eastAsia="hu-HU"/>
              </w:rPr>
              <w:t>A közfeladatot ellátó szerv által kiírt pályázatok szakmai leírása, azok eredményei és indokolásuk</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Folyamatosan</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Hirdetmények, közlemények</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Folyamatosan</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180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 xml:space="preserve">Közérdekű adatok igénylése: </w:t>
            </w:r>
            <w:r w:rsidRPr="00DD04AE">
              <w:rPr>
                <w:rFonts w:ascii="Times New Roman" w:eastAsia="Times New Roman" w:hAnsi="Times New Roman" w:cs="Times New Roman"/>
                <w:sz w:val="20"/>
                <w:szCs w:val="20"/>
                <w:lang w:eastAsia="hu-HU"/>
              </w:rPr>
              <w:t>A közérdekű adatok megismerésére irányuló igények intézésének rendje, az illetékes szervezeti egység neve, elérhetősége, s ahol kijelölésre kerül, az adatvédelmi tisztviselő, vagy az információs jogokkal foglalkozó személy neve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780"/>
        </w:trPr>
        <w:tc>
          <w:tcPr>
            <w:tcW w:w="0" w:type="auto"/>
            <w:tcBorders>
              <w:top w:val="nil"/>
              <w:left w:val="single" w:sz="8" w:space="0" w:color="000000"/>
              <w:bottom w:val="nil"/>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közérdekű adatokkal kapcsolatos kötelező statisztikai adatszolgáltatás adott szervre vonatkozó adatai</w:t>
            </w:r>
          </w:p>
        </w:tc>
        <w:tc>
          <w:tcPr>
            <w:tcW w:w="0" w:type="auto"/>
            <w:tcBorders>
              <w:top w:val="nil"/>
              <w:left w:val="nil"/>
              <w:bottom w:val="nil"/>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28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DD04AE">
              <w:rPr>
                <w:rFonts w:ascii="Times New Roman" w:eastAsia="Times New Roman" w:hAnsi="Times New Roman" w:cs="Times New Roman"/>
                <w:sz w:val="20"/>
                <w:szCs w:val="20"/>
                <w:lang w:eastAsia="hu-HU"/>
              </w:rPr>
              <w:br/>
              <w:t>a közadatok újrahasznosításáról szóló törvény szerint újrahasznosítható közadat típusokról való tájékoztatás, a rendelkezésre álló formátumok megjelölésével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és kulturális közadatok újrahasznosítására vonatkozó általános szerződési feltételek elektronikusan szerkeszthető változata</w:t>
            </w:r>
          </w:p>
        </w:tc>
        <w:tc>
          <w:tcPr>
            <w:tcW w:w="0" w:type="auto"/>
            <w:tcBorders>
              <w:top w:val="nil"/>
              <w:left w:val="nil"/>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és kulturális közadatok újrahasznosítás céljából történő rendelkezésre bocsátásáért fizetendő díjak általános jegyzéke, a díjszámítás alapját képező tényezőkkel együttesen</w:t>
            </w:r>
          </w:p>
        </w:tc>
        <w:tc>
          <w:tcPr>
            <w:tcW w:w="0" w:type="auto"/>
            <w:tcBorders>
              <w:top w:val="nil"/>
              <w:left w:val="nil"/>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újrahasznosításáról szóló törvény szerinti jogorvoslati tájékoztatás</w:t>
            </w:r>
          </w:p>
        </w:tc>
        <w:tc>
          <w:tcPr>
            <w:tcW w:w="0" w:type="auto"/>
            <w:tcBorders>
              <w:top w:val="nil"/>
              <w:left w:val="nil"/>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0" w:type="auto"/>
            <w:tcBorders>
              <w:top w:val="nil"/>
              <w:left w:val="nil"/>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közfeladatot ellátó szerv által kötött, a közadatok újrahasznosításáról szóló törvény szerint</w:t>
            </w:r>
            <w:r w:rsidRPr="00DD04AE">
              <w:rPr>
                <w:rFonts w:ascii="Times New Roman" w:eastAsia="Times New Roman" w:hAnsi="Times New Roman" w:cs="Times New Roman"/>
                <w:sz w:val="20"/>
                <w:szCs w:val="20"/>
                <w:lang w:eastAsia="hu-HU"/>
              </w:rPr>
              <w:br/>
              <w:t>a kulturális közadatok digitalizálására kizárólagos jogot biztosító megállapodások szövege</w:t>
            </w:r>
          </w:p>
        </w:tc>
        <w:tc>
          <w:tcPr>
            <w:tcW w:w="0" w:type="auto"/>
            <w:tcBorders>
              <w:top w:val="nil"/>
              <w:left w:val="nil"/>
              <w:bottom w:val="single" w:sz="4" w:space="0" w:color="auto"/>
              <w:right w:val="single" w:sz="4"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30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változásokat követő 15 napon belül</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törlendő</w:t>
            </w:r>
          </w:p>
        </w:tc>
      </w:tr>
      <w:tr w:rsidR="00E10CE2" w:rsidRPr="00DD04AE" w:rsidTr="00FD2D80">
        <w:trPr>
          <w:trHeight w:val="270"/>
        </w:trPr>
        <w:tc>
          <w:tcPr>
            <w:tcW w:w="0" w:type="auto"/>
            <w:gridSpan w:val="3"/>
            <w:tcBorders>
              <w:top w:val="nil"/>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III. Gazdálkodási adatok</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A működés törvényessége, ellenőrzések</w:t>
            </w:r>
          </w:p>
        </w:tc>
      </w:tr>
      <w:tr w:rsidR="00E10CE2" w:rsidRPr="00DD04AE" w:rsidTr="00FD2D80">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Vizsgálatok, ellenőrzések listája</w:t>
            </w:r>
            <w:r w:rsidRPr="00DD04AE">
              <w:rPr>
                <w:rFonts w:ascii="Times New Roman" w:eastAsia="Times New Roman" w:hAnsi="Times New Roman" w:cs="Times New Roman"/>
                <w:sz w:val="20"/>
                <w:szCs w:val="20"/>
                <w:lang w:eastAsia="hu-HU"/>
              </w:rPr>
              <w:t>: A közfeladatot ellátó szervnél végzett alaptevékenységgel kapcsolatos -nyilvános megállapításokat tartalmazó -  vizsgálatok ellenőrzések felsorolása</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Az Állami Számvevőszék ellenőrzései:</w:t>
            </w:r>
            <w:r w:rsidRPr="00DD04AE">
              <w:rPr>
                <w:rFonts w:ascii="Times New Roman" w:eastAsia="Times New Roman" w:hAnsi="Times New Roman" w:cs="Times New Roman"/>
                <w:sz w:val="20"/>
                <w:szCs w:val="20"/>
                <w:lang w:eastAsia="hu-HU"/>
              </w:rPr>
              <w:t xml:space="preserve"> az ÁSZ ellenőrzések nyilvános megállapításai</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7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Egyéb ellenőrzések, vizsgálatok:</w:t>
            </w:r>
            <w:r w:rsidRPr="00DD04AE">
              <w:rPr>
                <w:rFonts w:ascii="Times New Roman" w:eastAsia="Times New Roman" w:hAnsi="Times New Roman" w:cs="Times New Roman"/>
                <w:sz w:val="20"/>
                <w:szCs w:val="20"/>
                <w:lang w:eastAsia="hu-HU"/>
              </w:rPr>
              <w:t xml:space="preserve"> egyéb ellenőrzések, vizsgálatok nyilvános megállapításai</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vizsgálatról szóló jelentés megismerését követően haladéktalanul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1 évig tartó archívumban tartásával</w:t>
            </w:r>
          </w:p>
        </w:tc>
      </w:tr>
      <w:tr w:rsidR="00E10CE2" w:rsidRPr="00DD04AE" w:rsidTr="00FD2D80">
        <w:trPr>
          <w:trHeight w:val="270"/>
        </w:trPr>
        <w:tc>
          <w:tcPr>
            <w:tcW w:w="0" w:type="auto"/>
            <w:tcBorders>
              <w:top w:val="nil"/>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b/>
                <w:bCs/>
                <w:color w:val="808080"/>
                <w:sz w:val="20"/>
                <w:szCs w:val="20"/>
                <w:lang w:eastAsia="hu-HU"/>
              </w:rPr>
            </w:pPr>
            <w:r w:rsidRPr="00DD04AE">
              <w:rPr>
                <w:rFonts w:ascii="Times New Roman" w:eastAsia="Times New Roman" w:hAnsi="Times New Roman" w:cs="Times New Roman"/>
                <w:b/>
                <w:bCs/>
                <w:color w:val="808080"/>
                <w:sz w:val="20"/>
                <w:szCs w:val="20"/>
                <w:lang w:eastAsia="hu-HU"/>
              </w:rPr>
              <w:t>Működés eredményessége, teljesítmény</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E10CE2" w:rsidRPr="00DD04AE" w:rsidTr="00FD2D80">
        <w:trPr>
          <w:trHeight w:val="1035"/>
        </w:trPr>
        <w:tc>
          <w:tcPr>
            <w:tcW w:w="0" w:type="auto"/>
            <w:tcBorders>
              <w:top w:val="nil"/>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Működési statisztika:</w:t>
            </w:r>
            <w:r w:rsidRPr="00DD04AE">
              <w:rPr>
                <w:rFonts w:ascii="Times New Roman" w:eastAsia="Times New Roman" w:hAnsi="Times New Roman" w:cs="Times New Roman"/>
                <w:sz w:val="20"/>
                <w:szCs w:val="20"/>
                <w:lang w:eastAsia="hu-HU"/>
              </w:rPr>
              <w:t xml:space="preserve">  A közfeladatot ellátó szerv tevékenységére vonatkozó, jogszabályon alapuló statisztikai adatgyűjtés eredményei, időbeli változásuk</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color w:val="808080"/>
                <w:sz w:val="20"/>
                <w:szCs w:val="20"/>
                <w:lang w:eastAsia="hu-HU"/>
              </w:rPr>
            </w:pPr>
            <w:r w:rsidRPr="00DD04AE">
              <w:rPr>
                <w:rFonts w:ascii="Times New Roman" w:eastAsia="Times New Roman" w:hAnsi="Times New Roman" w:cs="Times New Roman"/>
                <w:color w:val="808080"/>
                <w:sz w:val="20"/>
                <w:szCs w:val="20"/>
                <w:lang w:eastAsia="hu-HU"/>
              </w:rPr>
              <w:t>a … tekintetében nem releváns</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Költségvetések, beszámolók</w:t>
            </w:r>
          </w:p>
        </w:tc>
      </w:tr>
      <w:tr w:rsidR="00E10CE2" w:rsidRPr="00DD04AE" w:rsidTr="00FD2D80">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Éves (elemi) költségvetés:</w:t>
            </w:r>
            <w:r w:rsidRPr="00DD04AE">
              <w:rPr>
                <w:rFonts w:ascii="Times New Roman" w:eastAsia="Times New Roman" w:hAnsi="Times New Roman" w:cs="Times New Roman"/>
                <w:sz w:val="20"/>
                <w:szCs w:val="20"/>
                <w:lang w:eastAsia="hu-HU"/>
              </w:rPr>
              <w:t xml:space="preserve"> A közfeladatot ellátó szerv éves költségvetése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E10CE2" w:rsidRPr="00DD04AE" w:rsidTr="00FD2D80">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Számviteli beszámolók: </w:t>
            </w:r>
            <w:r w:rsidRPr="00DD04AE">
              <w:rPr>
                <w:rFonts w:ascii="Times New Roman" w:eastAsia="Times New Roman" w:hAnsi="Times New Roman" w:cs="Times New Roman"/>
                <w:sz w:val="20"/>
                <w:szCs w:val="20"/>
                <w:lang w:eastAsia="hu-HU"/>
              </w:rPr>
              <w:t>a közfeladatot ellátó szerv törvény szerint beszámolója</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E10CE2" w:rsidRPr="00DD04AE" w:rsidTr="00FD2D80">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 xml:space="preserve">A költségvetés végrehajtása: </w:t>
            </w:r>
            <w:r w:rsidRPr="00DD04AE">
              <w:rPr>
                <w:rFonts w:ascii="Times New Roman" w:eastAsia="Times New Roman" w:hAnsi="Times New Roman" w:cs="Times New Roman"/>
                <w:sz w:val="20"/>
                <w:szCs w:val="20"/>
                <w:lang w:eastAsia="hu-HU"/>
              </w:rPr>
              <w:t>külön jogszabályban meghatározott beszámolók</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változásokat követően azonnal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követő 10 évig</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Működés</w:t>
            </w:r>
          </w:p>
        </w:tc>
      </w:tr>
      <w:tr w:rsidR="00E10CE2" w:rsidRPr="00DD04AE" w:rsidTr="00FD2D80">
        <w:trPr>
          <w:trHeight w:val="21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Foglalkoztatottak</w:t>
            </w:r>
            <w:r w:rsidRPr="00DD04AE">
              <w:rPr>
                <w:rFonts w:ascii="Times New Roman" w:eastAsia="Times New Roman" w:hAnsi="Times New Roman" w:cs="Times New Roman"/>
                <w:sz w:val="20"/>
                <w:szCs w:val="20"/>
                <w:lang w:eastAsia="hu-HU"/>
              </w:rPr>
              <w:t>: 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külön jogszabályban meghatározott ideig, de legalább 1 évig archívumban tartásával</w:t>
            </w:r>
          </w:p>
        </w:tc>
      </w:tr>
      <w:tr w:rsidR="00E10CE2" w:rsidRPr="00DD04AE" w:rsidTr="00FD2D80">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Támogatások:</w:t>
            </w:r>
            <w:r w:rsidRPr="00DD04AE">
              <w:rPr>
                <w:rFonts w:ascii="Times New Roman" w:eastAsia="Times New Roman" w:hAnsi="Times New Roman" w:cs="Times New Roman"/>
                <w:sz w:val="20"/>
                <w:szCs w:val="20"/>
                <w:lang w:eastAsia="hu-HU"/>
              </w:rPr>
              <w:t xml:space="preserve"> 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E10CE2" w:rsidRDefault="00E10CE2" w:rsidP="00FD2D80">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p>
        </w:tc>
      </w:tr>
      <w:tr w:rsidR="00E10CE2" w:rsidRPr="00DD04AE" w:rsidTr="00FD2D80">
        <w:trPr>
          <w:trHeight w:val="51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24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Szerződések:</w:t>
            </w:r>
            <w:r w:rsidRPr="00DD04AE">
              <w:rPr>
                <w:rFonts w:ascii="Times New Roman" w:eastAsia="Times New Roman" w:hAnsi="Times New Roman" w:cs="Times New Roman"/>
                <w:sz w:val="20"/>
                <w:szCs w:val="20"/>
                <w:lang w:eastAsia="hu-HU"/>
              </w:rPr>
              <w:t xml:space="preserve"> 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E10CE2" w:rsidRDefault="00E10CE2" w:rsidP="00FD2D80">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r>
              <w:rPr>
                <w:rFonts w:ascii="Times New Roman" w:eastAsia="Times New Roman" w:hAnsi="Times New Roman" w:cs="Times New Roman"/>
                <w:sz w:val="20"/>
                <w:szCs w:val="20"/>
                <w:lang w:eastAsia="hu-HU"/>
              </w:rPr>
              <w:t>.</w:t>
            </w:r>
          </w:p>
        </w:tc>
      </w:tr>
      <w:tr w:rsidR="00E10CE2" w:rsidRPr="00DD04AE" w:rsidTr="00FD2D80">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b/>
                <w:bCs/>
                <w:sz w:val="20"/>
                <w:szCs w:val="20"/>
                <w:lang w:eastAsia="hu-HU"/>
              </w:rPr>
              <w:t>Koncessziók</w:t>
            </w:r>
            <w:r w:rsidRPr="00DD04AE">
              <w:rPr>
                <w:rFonts w:ascii="Times New Roman" w:eastAsia="Times New Roman" w:hAnsi="Times New Roman" w:cs="Times New Roman"/>
                <w:sz w:val="20"/>
                <w:szCs w:val="20"/>
                <w:lang w:eastAsia="hu-HU"/>
              </w:rPr>
              <w:t>: A koncesszióról szóló törvényben meghatározott nyilvános adatok (pályázati kiírások, pályázók adatai, az elbírálásról készített emlékeztetők, pályázat eredménye)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A külön jogszabályban meghatározott ideig, de legalább 1 évig archívumban tartásával</w:t>
            </w:r>
          </w:p>
        </w:tc>
      </w:tr>
      <w:tr w:rsidR="00E10CE2" w:rsidRPr="00DD04AE" w:rsidTr="00FD2D80">
        <w:trPr>
          <w:trHeight w:val="28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E</w:t>
            </w:r>
            <w:r w:rsidRPr="00DD04AE">
              <w:rPr>
                <w:rFonts w:ascii="Times New Roman" w:eastAsia="Times New Roman" w:hAnsi="Times New Roman" w:cs="Times New Roman"/>
                <w:b/>
                <w:bCs/>
                <w:sz w:val="20"/>
                <w:szCs w:val="20"/>
                <w:lang w:eastAsia="hu-HU"/>
              </w:rPr>
              <w:t>gyéb kifizetések:</w:t>
            </w:r>
            <w:r w:rsidRPr="00DD04AE">
              <w:rPr>
                <w:rFonts w:ascii="Times New Roman" w:eastAsia="Times New Roman" w:hAnsi="Times New Roman" w:cs="Times New Roman"/>
                <w:sz w:val="20"/>
                <w:szCs w:val="20"/>
                <w:lang w:eastAsia="hu-HU"/>
              </w:rPr>
              <w:t xml:space="preserve"> 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Kéthavonta</w:t>
            </w:r>
          </w:p>
        </w:tc>
        <w:tc>
          <w:tcPr>
            <w:tcW w:w="0" w:type="auto"/>
            <w:tcBorders>
              <w:top w:val="nil"/>
              <w:left w:val="nil"/>
              <w:bottom w:val="single" w:sz="8" w:space="0" w:color="000000"/>
              <w:right w:val="single" w:sz="8" w:space="0" w:color="000000"/>
            </w:tcBorders>
            <w:shd w:val="clear" w:color="auto" w:fill="auto"/>
            <w:vAlign w:val="center"/>
            <w:hideMark/>
          </w:tcPr>
          <w:p w:rsidR="00E10CE2" w:rsidRDefault="00E10CE2" w:rsidP="00FD2D80">
            <w:pPr>
              <w:spacing w:after="0" w:line="240" w:lineRule="auto"/>
              <w:rPr>
                <w:rFonts w:ascii="Times New Roman" w:eastAsia="Times New Roman" w:hAnsi="Times New Roman" w:cs="Times New Roman"/>
                <w:sz w:val="20"/>
                <w:szCs w:val="20"/>
                <w:lang w:eastAsia="hu-HU"/>
              </w:rPr>
            </w:pPr>
            <w:r w:rsidRPr="0071752D">
              <w:rPr>
                <w:rFonts w:ascii="Times New Roman" w:eastAsia="Times New Roman" w:hAnsi="Times New Roman" w:cs="Times New Roman"/>
                <w:sz w:val="20"/>
                <w:szCs w:val="20"/>
                <w:lang w:eastAsia="hu-HU"/>
              </w:rPr>
              <w:t>A közzététel a Központi Információs Közadat-nyilvántartás elektronikus felület alkalmazásával első alkalommal legkésőbb 2023. február 28-ig az erre mutató link megjelenítésével, az ezen időpontot megelőző adatok tekintetében a szerv hivatalos honlapján történő megjelenítésével történik.</w:t>
            </w:r>
          </w:p>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közzétételt követő </w:t>
            </w:r>
            <w:r>
              <w:rPr>
                <w:rFonts w:ascii="Times New Roman" w:eastAsia="Times New Roman" w:hAnsi="Times New Roman" w:cs="Times New Roman"/>
                <w:sz w:val="20"/>
                <w:szCs w:val="20"/>
                <w:lang w:eastAsia="hu-HU"/>
              </w:rPr>
              <w:t>10</w:t>
            </w:r>
            <w:r w:rsidRPr="00DD04AE">
              <w:rPr>
                <w:rFonts w:ascii="Times New Roman" w:eastAsia="Times New Roman" w:hAnsi="Times New Roman" w:cs="Times New Roman"/>
                <w:sz w:val="20"/>
                <w:szCs w:val="20"/>
                <w:lang w:eastAsia="hu-HU"/>
              </w:rPr>
              <w:t xml:space="preserve"> évig</w:t>
            </w:r>
            <w:r>
              <w:rPr>
                <w:rFonts w:ascii="Times New Roman" w:eastAsia="Times New Roman" w:hAnsi="Times New Roman" w:cs="Times New Roman"/>
                <w:sz w:val="20"/>
                <w:szCs w:val="20"/>
                <w:lang w:eastAsia="hu-HU"/>
              </w:rPr>
              <w:t>.</w:t>
            </w:r>
          </w:p>
        </w:tc>
      </w:tr>
      <w:tr w:rsidR="00E10CE2" w:rsidRPr="00DD04AE" w:rsidTr="00FD2D80">
        <w:trPr>
          <w:trHeight w:val="10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Európai unió által támogatott fejlesztések</w:t>
            </w:r>
            <w:r w:rsidRPr="00DD04AE">
              <w:rPr>
                <w:rFonts w:ascii="Times New Roman" w:eastAsia="Times New Roman" w:hAnsi="Times New Roman" w:cs="Times New Roman"/>
                <w:sz w:val="20"/>
                <w:szCs w:val="20"/>
                <w:lang w:eastAsia="hu-HU"/>
              </w:rPr>
              <w:t>: Az Európai Unió támogatásával megvalósuló fejlesztések leírása, az azokra vonatkozó szerződések</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legalább 1 évig tartó archívumban tartásával</w:t>
            </w:r>
          </w:p>
        </w:tc>
      </w:tr>
      <w:tr w:rsidR="00E10CE2" w:rsidRPr="00DD04AE" w:rsidTr="00FD2D80">
        <w:trPr>
          <w:trHeight w:val="9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Közbeszerzési információk:</w:t>
            </w:r>
            <w:r w:rsidRPr="00DD04AE">
              <w:rPr>
                <w:rFonts w:ascii="Times New Roman" w:eastAsia="Times New Roman" w:hAnsi="Times New Roman" w:cs="Times New Roman"/>
                <w:sz w:val="20"/>
                <w:szCs w:val="20"/>
                <w:lang w:eastAsia="hu-HU"/>
              </w:rPr>
              <w:t xml:space="preserve"> éves terv, összegzés az ajánlatok elbírálásáról, a megkötött szerződésekről</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 Negyedévente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előző állapot legalább 1 évig tartó archívumban tartásával</w:t>
            </w:r>
          </w:p>
        </w:tc>
      </w:tr>
      <w:tr w:rsidR="00E10CE2" w:rsidRPr="00DD04AE" w:rsidTr="00FD2D80">
        <w:trPr>
          <w:trHeight w:val="270"/>
        </w:trPr>
        <w:tc>
          <w:tcPr>
            <w:tcW w:w="0" w:type="auto"/>
            <w:gridSpan w:val="3"/>
            <w:tcBorders>
              <w:top w:val="single" w:sz="8" w:space="0" w:color="000000"/>
              <w:left w:val="nil"/>
              <w:bottom w:val="single" w:sz="8" w:space="0" w:color="000000"/>
              <w:right w:val="nil"/>
            </w:tcBorders>
            <w:shd w:val="clear" w:color="auto" w:fill="auto"/>
            <w:noWrap/>
            <w:vAlign w:val="bottom"/>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KÜLÖNÖS KÖZZÉTÉTELI LISTA</w:t>
            </w:r>
          </w:p>
        </w:tc>
      </w:tr>
      <w:tr w:rsidR="00E10CE2" w:rsidRPr="00DD04AE" w:rsidTr="00FD2D80">
        <w:trPr>
          <w:trHeight w:val="525"/>
        </w:trPr>
        <w:tc>
          <w:tcPr>
            <w:tcW w:w="0" w:type="auto"/>
            <w:tcBorders>
              <w:top w:val="nil"/>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ADATOK LEÍRÁSA</w:t>
            </w:r>
          </w:p>
        </w:tc>
        <w:tc>
          <w:tcPr>
            <w:tcW w:w="0" w:type="auto"/>
            <w:tcBorders>
              <w:top w:val="nil"/>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ELŐÍRÓ JOGSZABÁLY</w:t>
            </w:r>
          </w:p>
        </w:tc>
        <w:tc>
          <w:tcPr>
            <w:tcW w:w="0" w:type="auto"/>
            <w:tcBorders>
              <w:top w:val="nil"/>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KÖZZÉTÉTELLEL KAPCSOLATOS HATÁRIDŐK</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hideMark/>
          </w:tcPr>
          <w:p w:rsidR="00E10CE2" w:rsidRPr="00DD04AE" w:rsidRDefault="00E10CE2" w:rsidP="00FD2D80">
            <w:pPr>
              <w:spacing w:after="0" w:line="240" w:lineRule="auto"/>
              <w:jc w:val="center"/>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Tevékenységre, működésre vonatkozó adatok</w:t>
            </w:r>
          </w:p>
        </w:tc>
      </w:tr>
      <w:tr w:rsidR="00E10CE2" w:rsidRPr="00DD04AE" w:rsidTr="00FD2D80">
        <w:trPr>
          <w:trHeight w:val="28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hatóság döntésének hirdetményi úton történő közlése</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B96A7C">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az általános közigazgatási rendtartásról szóló </w:t>
            </w:r>
            <w:r w:rsidR="00B96A7C">
              <w:rPr>
                <w:rFonts w:ascii="Times New Roman" w:eastAsia="Times New Roman" w:hAnsi="Times New Roman" w:cs="Times New Roman"/>
                <w:sz w:val="20"/>
                <w:szCs w:val="20"/>
                <w:lang w:eastAsia="hu-HU"/>
              </w:rPr>
              <w:t>2016. évi CL. törvény 88–89. §</w:t>
            </w:r>
            <w:bookmarkStart w:id="0" w:name="_GoBack"/>
            <w:bookmarkEnd w:id="0"/>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hirdetményi úton történő közlés, illetve a közhírré tétel feltételei már nem állnak fenn, eltávolítandó</w:t>
            </w:r>
          </w:p>
        </w:tc>
      </w:tr>
      <w:tr w:rsidR="00E10CE2" w:rsidRPr="00DD04AE" w:rsidTr="00FD2D80">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hatóság döntéseinek Ákr. 89. § (1) és (4) bekezdése alapján történő közhírré tétele</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(1) és (4) bekezdés</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E10CE2" w:rsidRPr="00DD04AE" w:rsidTr="00FD2D80">
        <w:trPr>
          <w:trHeight w:val="1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személyek széles vagy pontosan meg nem határozható köre számára életveszéllyel vagy súlyos kárral fenyegető helyzet megelőzése, elhárítása vagy káros következményeinek enyhítése érdekében hozott döntések (Ákr. 89. § (3) bekezdés)</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(3) bekezdés</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E10CE2" w:rsidRPr="00DD04AE" w:rsidTr="00FD2D80">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közérdekű keresettel megtámadható döntések [Ákr. 89. § (3) bekezdés]</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általános közigazgatási rendtartásról szóló 2016. évi CL. törvény 89. § (3) bekezdés</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haladéktalanul, ha a közhírré tétel feltételei már nem állnak fenn, eltávolítandó</w:t>
            </w:r>
          </w:p>
        </w:tc>
      </w:tr>
      <w:tr w:rsidR="00E10CE2" w:rsidRPr="00DD04AE" w:rsidTr="00FD2D80">
        <w:trPr>
          <w:trHeight w:val="328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 xml:space="preserve">A kéményseprő-ipari közszolgáltatók nyilvántartása: </w:t>
            </w:r>
            <w:r w:rsidRPr="00DD04AE">
              <w:rPr>
                <w:rFonts w:ascii="Times New Roman" w:eastAsia="Times New Roman" w:hAnsi="Times New Roman" w:cs="Times New Roman"/>
                <w:sz w:val="20"/>
                <w:szCs w:val="20"/>
                <w:lang w:eastAsia="hu-HU"/>
              </w:rPr>
              <w:br/>
              <w:t xml:space="preserve">a) a szolgáltató neve, lakcíme/székhelye, </w:t>
            </w:r>
            <w:r w:rsidRPr="00DD04AE">
              <w:rPr>
                <w:rFonts w:ascii="Times New Roman" w:eastAsia="Times New Roman" w:hAnsi="Times New Roman" w:cs="Times New Roman"/>
                <w:sz w:val="20"/>
                <w:szCs w:val="20"/>
                <w:lang w:eastAsia="hu-HU"/>
              </w:rPr>
              <w:br/>
              <w:t xml:space="preserve">b) az engedélyezett szolgáltatási tevékenység megjelölése,  </w:t>
            </w:r>
            <w:r w:rsidRPr="00DD04AE">
              <w:rPr>
                <w:rFonts w:ascii="Times New Roman" w:eastAsia="Times New Roman" w:hAnsi="Times New Roman" w:cs="Times New Roman"/>
                <w:sz w:val="20"/>
                <w:szCs w:val="20"/>
                <w:lang w:eastAsia="hu-HU"/>
              </w:rPr>
              <w:br/>
              <w:t xml:space="preserve">c) szükség szerint a 2009. évi LXXVI. törvény 22. § (2)–(3) bekezdéseiben, foglalt adatok, </w:t>
            </w:r>
            <w:r w:rsidRPr="00DD04AE">
              <w:rPr>
                <w:rFonts w:ascii="Times New Roman" w:eastAsia="Times New Roman" w:hAnsi="Times New Roman" w:cs="Times New Roman"/>
                <w:sz w:val="20"/>
                <w:szCs w:val="20"/>
                <w:lang w:eastAsia="hu-HU"/>
              </w:rPr>
              <w:br/>
              <w:t xml:space="preserve">d) a 2009. évi LXXVI. törvény 29. § a)–d) pontjában meghatározott adatok.  </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szolgáltatási tevékenység megkezdésének és folytatásának általános szabályairól szóló 2009. évi LXXVI. törvény 30. § (2) bekezdés  </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Adatváltozás esetén 15 napon belül</w:t>
            </w:r>
          </w:p>
        </w:tc>
      </w:tr>
      <w:tr w:rsidR="00E10CE2" w:rsidRPr="00DD04AE" w:rsidTr="00FD2D80">
        <w:trPr>
          <w:trHeight w:val="270"/>
        </w:trPr>
        <w:tc>
          <w:tcPr>
            <w:tcW w:w="0" w:type="auto"/>
            <w:gridSpan w:val="3"/>
            <w:tcBorders>
              <w:top w:val="single" w:sz="8" w:space="0" w:color="000000"/>
              <w:left w:val="single" w:sz="8" w:space="0" w:color="000000"/>
              <w:bottom w:val="nil"/>
              <w:right w:val="nil"/>
            </w:tcBorders>
            <w:shd w:val="clear" w:color="auto" w:fill="auto"/>
            <w:noWrap/>
            <w:vAlign w:val="bottom"/>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Gazdálkodási adatok</w:t>
            </w:r>
          </w:p>
        </w:tc>
      </w:tr>
      <w:tr w:rsidR="00E10CE2" w:rsidRPr="00DD04AE" w:rsidTr="00FD2D80">
        <w:trPr>
          <w:trHeight w:val="30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Közbeszerzési terv, közbeszerzési terv módosítása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a) pont</w:t>
            </w:r>
          </w:p>
        </w:tc>
        <w:tc>
          <w:tcPr>
            <w:tcW w:w="0" w:type="auto"/>
            <w:tcBorders>
              <w:top w:val="nil"/>
              <w:left w:val="nil"/>
              <w:bottom w:val="single" w:sz="8" w:space="0" w:color="auto"/>
              <w:right w:val="single" w:sz="8" w:space="0" w:color="auto"/>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elfogadást követően haladéktalanul, a tárgyévet követő évre vonatkozó közbeszerzési terv honlapon történő közzétételéig kell elérhetőnek lennie. A közzététel az elektronikus közbeszerzési rendszerben (a továbbiakban: EKR) a https://ekr.gov.hu/ link megjelenítésével, a 2018. évnél korábbi tervek a Közbeszerzési Hatóság által működtetett Közbeszerzési Adatbázisban történő közzétételre hivatkozva, www.kozbeszerzes.hu link megjelenítésével történik</w:t>
            </w:r>
          </w:p>
        </w:tc>
      </w:tr>
      <w:tr w:rsidR="00E10CE2" w:rsidRPr="00DD04AE" w:rsidTr="00FD2D80">
        <w:trPr>
          <w:trHeight w:val="28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Az előzetes vitarendezéssel kapcsolatos Kbt. 80. § (2) bekezdése szerinti adatok,</w:t>
            </w:r>
            <w:r w:rsidRPr="00DD04AE">
              <w:rPr>
                <w:rFonts w:ascii="Times New Roman" w:eastAsia="Times New Roman" w:hAnsi="Times New Roman" w:cs="Times New Roman"/>
                <w:sz w:val="20"/>
                <w:szCs w:val="20"/>
                <w:lang w:eastAsia="hu-HU"/>
              </w:rPr>
              <w:t xml:space="preserve"> vagyis az írásbeli összegezés vagy egyéb dokumentum, vagy eljárási cselekmény jogsértőnek tartott eleme, a kérelmező javaslata, észrevétele, valamint az álláspontját alátámasztó adatok, tények, továbbá az azt alátámasztó dokumentumokra – ha vannak ilyenek – vonatkozó hivatkozás</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b) pont</w:t>
            </w:r>
          </w:p>
        </w:tc>
        <w:tc>
          <w:tcPr>
            <w:tcW w:w="0" w:type="auto"/>
            <w:tcBorders>
              <w:top w:val="nil"/>
              <w:left w:val="nil"/>
              <w:bottom w:val="single" w:sz="8" w:space="0" w:color="auto"/>
              <w:right w:val="single" w:sz="8" w:space="0" w:color="auto"/>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előzetes vitarendezési kérelem kézhezvételét követően haladéktalanul, legalább 5 évig elérhetőnek kell lennie. A közzététel az elektronikus közbeszerzési rendszerben (a továbbiakban: EKR) a https://ekr.gov.hu/ link megjelenítésével, a 2018.04.15. előtti adatok a Közbeszerzési Hatóság által működtetett Közbeszerzési Adatbázisban történő közzétételre hivatkozva, www.kozbeszerzes.hu link megjelenítésével történik</w:t>
            </w:r>
          </w:p>
        </w:tc>
      </w:tr>
      <w:tr w:rsidR="00E10CE2" w:rsidRPr="00DD04AE" w:rsidTr="00FD2D80">
        <w:trPr>
          <w:trHeight w:val="2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A Kbt. 9. § (1) bekezdés h)–i) pontjai alapján kötött és a közbeszerzési eljárás alapján megkötött szerződések</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(1) bekezdés a)–b) pontok</w:t>
            </w:r>
          </w:p>
        </w:tc>
        <w:tc>
          <w:tcPr>
            <w:tcW w:w="0" w:type="auto"/>
            <w:tcBorders>
              <w:top w:val="nil"/>
              <w:left w:val="nil"/>
              <w:bottom w:val="single" w:sz="8" w:space="0" w:color="auto"/>
              <w:right w:val="single" w:sz="8" w:space="0" w:color="auto"/>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szerződéskötést követően haladéktalanul, legalább a szerződés teljesítését követő 5 évig elérhetőnek kell lennie. A közzététel a Közbeszerzési Hatóság által működtetett Szerződésnyilvántartó Rendszerben (CoRe) történő közzétételre hivatkozva, www.kozbeszerzes.hu link megjelenítésével történik</w:t>
            </w:r>
          </w:p>
        </w:tc>
      </w:tr>
      <w:tr w:rsidR="00E10CE2" w:rsidRPr="00DD04AE" w:rsidTr="00FD2D80">
        <w:trPr>
          <w:trHeight w:val="28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lastRenderedPageBreak/>
              <w:t>A részvételi jelentkezések és az ajánlatok elbírálásáról szóló összegezés</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(2) bekezdés c) pont</w:t>
            </w:r>
          </w:p>
        </w:tc>
        <w:tc>
          <w:tcPr>
            <w:tcW w:w="0" w:type="auto"/>
            <w:tcBorders>
              <w:top w:val="nil"/>
              <w:left w:val="nil"/>
              <w:bottom w:val="single" w:sz="8" w:space="0" w:color="auto"/>
              <w:right w:val="single" w:sz="8" w:space="0" w:color="auto"/>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részvételre jelentkezőknek vagy az ajánlattevőknek való megküldéssel egyidejűleg, a közzététel az elektronikus közbeszerzési rendszerben (a továbbiakban: EKR) a https://ekr.gov.hu/ link megjelenítésével, a 2018. 04.15. előtti adatok  a Közbeszerzési Hatóság által működtetett Közbeszerzési Adatbázisban történő közzétételre hivatkozva, www.kozbeszerzes.hu link megjelenítésével történik</w:t>
            </w:r>
          </w:p>
        </w:tc>
      </w:tr>
      <w:tr w:rsidR="00E10CE2" w:rsidRPr="00DD04AE" w:rsidTr="00FD2D80">
        <w:trPr>
          <w:trHeight w:val="38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b/>
                <w:bCs/>
                <w:sz w:val="20"/>
                <w:szCs w:val="20"/>
                <w:lang w:eastAsia="hu-HU"/>
              </w:rPr>
            </w:pPr>
            <w:r w:rsidRPr="00DD04AE">
              <w:rPr>
                <w:rFonts w:ascii="Times New Roman" w:eastAsia="Times New Roman" w:hAnsi="Times New Roman" w:cs="Times New Roman"/>
                <w:b/>
                <w:bCs/>
                <w:sz w:val="20"/>
                <w:szCs w:val="20"/>
                <w:lang w:eastAsia="hu-HU"/>
              </w:rPr>
              <w:t xml:space="preserve">Szerződések teljesítésére vonatkozó adatok: </w:t>
            </w:r>
            <w:r w:rsidRPr="00DD04AE">
              <w:rPr>
                <w:rFonts w:ascii="Times New Roman" w:eastAsia="Times New Roman" w:hAnsi="Times New Roman" w:cs="Times New Roman"/>
                <w:sz w:val="20"/>
                <w:szCs w:val="20"/>
                <w:lang w:eastAsia="hu-HU"/>
              </w:rPr>
              <w:t>hivatkozás a közbeszerzési eljárást megindító hirdetményre (hirdetmény nélkül induló eljárások esetében felhívásra), a szerződő felek megnevezése, azt, hogy a teljesítés szerződésszerű volt-e, a szerződés teljesítésének az ajánlatkérő által elismert időpontja, továbbá az ellenszolgáltatás teljesítésének időpontja és a kifizetett ellenszolgáltatás értéke</w:t>
            </w:r>
          </w:p>
        </w:tc>
        <w:tc>
          <w:tcPr>
            <w:tcW w:w="0" w:type="auto"/>
            <w:tcBorders>
              <w:top w:val="nil"/>
              <w:left w:val="nil"/>
              <w:bottom w:val="single" w:sz="8" w:space="0" w:color="auto"/>
              <w:right w:val="single" w:sz="8" w:space="0" w:color="auto"/>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közbeszerzésekről szóló 2015. évi CXLIII. törvény 43. § (1) bekezdés c) pont</w:t>
            </w:r>
          </w:p>
        </w:tc>
        <w:tc>
          <w:tcPr>
            <w:tcW w:w="0" w:type="auto"/>
            <w:tcBorders>
              <w:top w:val="nil"/>
              <w:left w:val="nil"/>
              <w:bottom w:val="single" w:sz="8" w:space="0" w:color="auto"/>
              <w:right w:val="single" w:sz="8" w:space="0" w:color="auto"/>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szerződés mindegyik fél – támogatásból megvalósuló közbeszerzés esetén szállítói kifizetés során a kifizetésre köteles szervezet – által történt teljesítését követő harminc napon belül, legalább 5 évig köteles elérhetővé tenni és az egy évnél hosszabb vagy határozatlan időre kötött szerződés esetében a szerződés megkötésétől számítva évenként kell aktualizálni, a közzététel a a Közbeszerzési Hatóság által működtetett Szerződésnyilvántartó Rendszerben (CoRe) történő közzétételre hivatkozva, www.kozbeszerzes.hu link megjelenítésével történik</w:t>
            </w:r>
          </w:p>
        </w:tc>
      </w:tr>
      <w:tr w:rsidR="00E10CE2" w:rsidRPr="00DD04AE" w:rsidTr="00FD2D80">
        <w:trPr>
          <w:trHeight w:val="231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közbeszerzési eljárás eredményeként az államháztartás központi alrendszerébe tartozó költségvetési szerv, továbbá a fejezeti kezelésű előirányzat, elkülönített állami pénzalap terhére megkötött, nettó 100 millió forint teljesítési értéket meghaladó szerződések alapján teljesített kifizetés összege, közvetlen jogosultja és a kifizetés időpontja</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államháztartásról szóló törvény végrehajtásáról szóló  368/2011. (XII. 31.) Korm. rendelet 6. mellékletének 12. sora</w:t>
            </w:r>
          </w:p>
        </w:tc>
        <w:tc>
          <w:tcPr>
            <w:tcW w:w="0" w:type="auto"/>
            <w:tcBorders>
              <w:top w:val="nil"/>
              <w:left w:val="nil"/>
              <w:bottom w:val="single" w:sz="8" w:space="0" w:color="000000"/>
              <w:right w:val="single" w:sz="8" w:space="0" w:color="000000"/>
            </w:tcBorders>
            <w:shd w:val="clear" w:color="auto" w:fill="auto"/>
            <w:vAlign w:val="center"/>
            <w:hideMark/>
          </w:tcPr>
          <w:p w:rsidR="00E10CE2" w:rsidRPr="00384640" w:rsidRDefault="00E10CE2" w:rsidP="00FD2D80">
            <w:pPr>
              <w:spacing w:after="0" w:line="240" w:lineRule="auto"/>
              <w:rPr>
                <w:rFonts w:ascii="Times New Roman" w:eastAsia="Times New Roman" w:hAnsi="Times New Roman" w:cs="Times New Roman"/>
                <w:sz w:val="20"/>
                <w:szCs w:val="20"/>
                <w:lang w:eastAsia="hu-HU"/>
              </w:rPr>
            </w:pPr>
            <w:r w:rsidRPr="00384640">
              <w:rPr>
                <w:rFonts w:ascii="Times New Roman" w:eastAsia="Times New Roman" w:hAnsi="Times New Roman" w:cs="Times New Roman"/>
                <w:sz w:val="20"/>
                <w:szCs w:val="20"/>
                <w:lang w:eastAsia="hu-HU"/>
              </w:rPr>
              <w:t>A kifizetést követő 8 napon belül. Az előző állapot nem törölhető</w:t>
            </w:r>
          </w:p>
        </w:tc>
      </w:tr>
      <w:tr w:rsidR="00E10CE2" w:rsidRPr="00DD04AE" w:rsidTr="00FD2D80">
        <w:trPr>
          <w:trHeight w:val="12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európai uniós társfinanszírozással bonyolított pályázatok esetében a nettó 100 millió forintot meghaladó, teljesített kifizetés összege, kedvezményezettje, és a kifizetés időpontja</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államháztartásról szóló törvény végrehajtásáról szóló  368/2011. (XII. 31.) Korm. rendelet 6. mellékletének 13. sora</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kifizetést követő 8 napon belül. Az előző állapot nem törölhető</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noWrap/>
            <w:vAlign w:val="bottom"/>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EGYEDI KÖZZÉTÉTELI LISTA</w:t>
            </w:r>
          </w:p>
        </w:tc>
      </w:tr>
      <w:tr w:rsidR="00E10CE2" w:rsidRPr="00DD04AE" w:rsidTr="00FD2D80">
        <w:trPr>
          <w:trHeight w:val="525"/>
        </w:trPr>
        <w:tc>
          <w:tcPr>
            <w:tcW w:w="0" w:type="auto"/>
            <w:tcBorders>
              <w:top w:val="nil"/>
              <w:left w:val="single" w:sz="8" w:space="0" w:color="000000"/>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ADATOK LEÍRÁSA</w:t>
            </w:r>
          </w:p>
        </w:tc>
        <w:tc>
          <w:tcPr>
            <w:tcW w:w="0" w:type="auto"/>
            <w:tcBorders>
              <w:top w:val="nil"/>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KÖZZÉTÉTELT ELŐÍRÓ JOGSZABÁLY VAGY BELSŐ SZABÁLYOZÓ</w:t>
            </w:r>
          </w:p>
        </w:tc>
        <w:tc>
          <w:tcPr>
            <w:tcW w:w="0" w:type="auto"/>
            <w:tcBorders>
              <w:top w:val="nil"/>
              <w:left w:val="nil"/>
              <w:bottom w:val="single" w:sz="8" w:space="0" w:color="000000"/>
              <w:right w:val="single" w:sz="8" w:space="0" w:color="000000"/>
            </w:tcBorders>
            <w:shd w:val="clear" w:color="auto" w:fill="auto"/>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 KÖZZÉTÉTELLEL KAPCSOLATOS HATÁRIDŐK</w:t>
            </w:r>
          </w:p>
        </w:tc>
      </w:tr>
      <w:tr w:rsidR="00E10CE2" w:rsidRPr="00DD04AE" w:rsidTr="00FD2D80">
        <w:trPr>
          <w:trHeight w:val="270"/>
        </w:trPr>
        <w:tc>
          <w:tcPr>
            <w:tcW w:w="0" w:type="auto"/>
            <w:gridSpan w:val="3"/>
            <w:tcBorders>
              <w:top w:val="single" w:sz="8" w:space="0" w:color="000000"/>
              <w:left w:val="single" w:sz="8" w:space="0" w:color="000000"/>
              <w:bottom w:val="single" w:sz="8" w:space="0" w:color="000000"/>
              <w:right w:val="nil"/>
            </w:tcBorders>
            <w:shd w:val="clear" w:color="auto" w:fill="auto"/>
            <w:noWrap/>
            <w:vAlign w:val="bottom"/>
            <w:hideMark/>
          </w:tcPr>
          <w:p w:rsidR="00E10CE2" w:rsidRPr="00DD04AE" w:rsidRDefault="00E10CE2" w:rsidP="00FD2D80">
            <w:pPr>
              <w:spacing w:after="0" w:line="240" w:lineRule="auto"/>
              <w:jc w:val="center"/>
              <w:rPr>
                <w:rFonts w:ascii="Arial CE" w:eastAsia="Times New Roman" w:hAnsi="Arial CE" w:cs="Times New Roman"/>
                <w:b/>
                <w:bCs/>
                <w:sz w:val="20"/>
                <w:szCs w:val="20"/>
                <w:lang w:eastAsia="hu-HU"/>
              </w:rPr>
            </w:pPr>
            <w:r w:rsidRPr="00DD04AE">
              <w:rPr>
                <w:rFonts w:ascii="Arial CE" w:eastAsia="Times New Roman" w:hAnsi="Arial CE" w:cs="Times New Roman"/>
                <w:b/>
                <w:bCs/>
                <w:sz w:val="20"/>
                <w:szCs w:val="20"/>
                <w:lang w:eastAsia="hu-HU"/>
              </w:rPr>
              <w:t>Gazdálkodási adatok</w:t>
            </w:r>
          </w:p>
        </w:tc>
      </w:tr>
      <w:tr w:rsidR="00E10CE2" w:rsidRPr="00DD04AE" w:rsidTr="00FD2D80">
        <w:trPr>
          <w:trHeight w:val="256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lastRenderedPageBreak/>
              <w:t>Az ötvenezer forintnál nagyobb értékű adományra és az adományozóra vonatkozó adatok</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 xml:space="preserve">a belügyminiszter irányítása alatt álló egyes rendvédelmi szervek és oktatási intézmények részére felajánlott adományok elfogadásának rendjéről szóló szabályzat kiadásáról szóló </w:t>
            </w:r>
            <w:r w:rsidR="006725FB">
              <w:rPr>
                <w:rFonts w:ascii="Times New Roman" w:eastAsia="Times New Roman" w:hAnsi="Times New Roman"/>
                <w:sz w:val="20"/>
                <w:szCs w:val="20"/>
                <w:lang w:eastAsia="hu-HU"/>
              </w:rPr>
              <w:t>16</w:t>
            </w:r>
            <w:r w:rsidR="006725FB" w:rsidRPr="00B8424A">
              <w:rPr>
                <w:rFonts w:ascii="Times New Roman" w:eastAsia="Times New Roman" w:hAnsi="Times New Roman"/>
                <w:sz w:val="20"/>
                <w:szCs w:val="20"/>
                <w:lang w:eastAsia="hu-HU"/>
              </w:rPr>
              <w:t>/20</w:t>
            </w:r>
            <w:r w:rsidR="006725FB">
              <w:rPr>
                <w:rFonts w:ascii="Times New Roman" w:eastAsia="Times New Roman" w:hAnsi="Times New Roman"/>
                <w:sz w:val="20"/>
                <w:szCs w:val="20"/>
                <w:lang w:eastAsia="hu-HU"/>
              </w:rPr>
              <w:t>23</w:t>
            </w:r>
            <w:r w:rsidR="006725FB" w:rsidRPr="00B8424A">
              <w:rPr>
                <w:rFonts w:ascii="Times New Roman" w:eastAsia="Times New Roman" w:hAnsi="Times New Roman"/>
                <w:sz w:val="20"/>
                <w:szCs w:val="20"/>
                <w:lang w:eastAsia="hu-HU"/>
              </w:rPr>
              <w:t>. (</w:t>
            </w:r>
            <w:r w:rsidR="006725FB">
              <w:rPr>
                <w:rFonts w:ascii="Times New Roman" w:eastAsia="Times New Roman" w:hAnsi="Times New Roman"/>
                <w:sz w:val="20"/>
                <w:szCs w:val="20"/>
                <w:lang w:eastAsia="hu-HU"/>
              </w:rPr>
              <w:t>VI.9</w:t>
            </w:r>
            <w:r w:rsidR="006725FB" w:rsidRPr="00B8424A">
              <w:rPr>
                <w:rFonts w:ascii="Times New Roman" w:eastAsia="Times New Roman" w:hAnsi="Times New Roman"/>
                <w:sz w:val="20"/>
                <w:szCs w:val="20"/>
                <w:lang w:eastAsia="hu-HU"/>
              </w:rPr>
              <w:t xml:space="preserve">.) </w:t>
            </w:r>
            <w:r w:rsidRPr="00DD04AE">
              <w:rPr>
                <w:rFonts w:ascii="Times New Roman" w:eastAsia="Times New Roman" w:hAnsi="Times New Roman" w:cs="Times New Roman"/>
                <w:sz w:val="20"/>
                <w:szCs w:val="20"/>
                <w:lang w:eastAsia="hu-HU"/>
              </w:rPr>
              <w:t>BM utasítás;</w:t>
            </w:r>
            <w:r w:rsidRPr="00DD04AE">
              <w:rPr>
                <w:rFonts w:ascii="Times New Roman" w:eastAsia="Times New Roman" w:hAnsi="Times New Roman" w:cs="Times New Roman"/>
                <w:sz w:val="20"/>
                <w:szCs w:val="20"/>
                <w:lang w:eastAsia="hu-HU"/>
              </w:rPr>
              <w:br/>
              <w:t>a BM Országos Katasztrófavédelmi Főigazgatóság és szervei részére felajánlott adományok elfogadásának rendjéről szóló 22/2019. BM OKF főigazgatói intézkedés</w:t>
            </w:r>
          </w:p>
        </w:tc>
        <w:tc>
          <w:tcPr>
            <w:tcW w:w="0" w:type="auto"/>
            <w:tcBorders>
              <w:top w:val="nil"/>
              <w:left w:val="nil"/>
              <w:bottom w:val="single" w:sz="8" w:space="0" w:color="000000"/>
              <w:right w:val="single" w:sz="8" w:space="0" w:color="000000"/>
            </w:tcBorders>
            <w:shd w:val="clear" w:color="auto" w:fill="auto"/>
            <w:vAlign w:val="center"/>
            <w:hideMark/>
          </w:tcPr>
          <w:p w:rsidR="00E10CE2" w:rsidRPr="00DD04AE" w:rsidRDefault="00E10CE2" w:rsidP="00FD2D80">
            <w:pPr>
              <w:spacing w:after="0" w:line="240" w:lineRule="auto"/>
              <w:rPr>
                <w:rFonts w:ascii="Times New Roman" w:eastAsia="Times New Roman" w:hAnsi="Times New Roman" w:cs="Times New Roman"/>
                <w:sz w:val="20"/>
                <w:szCs w:val="20"/>
                <w:lang w:eastAsia="hu-HU"/>
              </w:rPr>
            </w:pPr>
            <w:r w:rsidRPr="00DD04AE">
              <w:rPr>
                <w:rFonts w:ascii="Times New Roman" w:eastAsia="Times New Roman" w:hAnsi="Times New Roman" w:cs="Times New Roman"/>
                <w:sz w:val="20"/>
                <w:szCs w:val="20"/>
                <w:lang w:eastAsia="hu-HU"/>
              </w:rPr>
              <w:t>Az adomány elfogadásától számított 8 napon belül köteles honlapján közzétenni és annak megismerhetőségét 3 éven keresztül biztosítani</w:t>
            </w:r>
          </w:p>
        </w:tc>
      </w:tr>
    </w:tbl>
    <w:p w:rsidR="00DD0382" w:rsidRDefault="00990E74">
      <w:r>
        <w:t xml:space="preserve">                                                                                                                                                                                    „</w:t>
      </w:r>
    </w:p>
    <w:sectPr w:rsidR="00DD03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E2" w:rsidRDefault="00E10CE2" w:rsidP="00E10CE2">
      <w:pPr>
        <w:spacing w:after="0" w:line="240" w:lineRule="auto"/>
      </w:pPr>
      <w:r>
        <w:separator/>
      </w:r>
    </w:p>
  </w:endnote>
  <w:endnote w:type="continuationSeparator" w:id="0">
    <w:p w:rsidR="00E10CE2" w:rsidRDefault="00E10CE2" w:rsidP="00E1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E2" w:rsidRDefault="00E10CE2" w:rsidP="00E10CE2">
      <w:pPr>
        <w:spacing w:after="0" w:line="240" w:lineRule="auto"/>
      </w:pPr>
      <w:r>
        <w:separator/>
      </w:r>
    </w:p>
  </w:footnote>
  <w:footnote w:type="continuationSeparator" w:id="0">
    <w:p w:rsidR="00E10CE2" w:rsidRDefault="00E10CE2" w:rsidP="00E10C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E2"/>
    <w:rsid w:val="000A6532"/>
    <w:rsid w:val="0013167A"/>
    <w:rsid w:val="00221EFD"/>
    <w:rsid w:val="00281627"/>
    <w:rsid w:val="00384640"/>
    <w:rsid w:val="0042103A"/>
    <w:rsid w:val="004662F8"/>
    <w:rsid w:val="006725FB"/>
    <w:rsid w:val="00774F1A"/>
    <w:rsid w:val="007F480A"/>
    <w:rsid w:val="00990E74"/>
    <w:rsid w:val="00B96A7C"/>
    <w:rsid w:val="00BB7432"/>
    <w:rsid w:val="00BD0D3B"/>
    <w:rsid w:val="00DC4289"/>
    <w:rsid w:val="00DD0382"/>
    <w:rsid w:val="00E10CE2"/>
    <w:rsid w:val="00E95B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0E17E-A6A1-4B17-BD79-6AEE9956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10CE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10CE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10CE2"/>
    <w:rPr>
      <w:sz w:val="20"/>
      <w:szCs w:val="20"/>
    </w:rPr>
  </w:style>
  <w:style w:type="character" w:styleId="Lbjegyzet-hivatkozs">
    <w:name w:val="footnote reference"/>
    <w:basedOn w:val="Bekezdsalapbettpusa"/>
    <w:uiPriority w:val="99"/>
    <w:semiHidden/>
    <w:unhideWhenUsed/>
    <w:rsid w:val="00E10CE2"/>
    <w:rPr>
      <w:vertAlign w:val="superscript"/>
    </w:rPr>
  </w:style>
  <w:style w:type="paragraph" w:styleId="Buborkszveg">
    <w:name w:val="Balloon Text"/>
    <w:basedOn w:val="Norml"/>
    <w:link w:val="BuborkszvegChar"/>
    <w:uiPriority w:val="99"/>
    <w:semiHidden/>
    <w:unhideWhenUsed/>
    <w:rsid w:val="00DC428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C4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2572</Words>
  <Characters>17753</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Ködmön Diána</cp:lastModifiedBy>
  <cp:revision>4</cp:revision>
  <dcterms:created xsi:type="dcterms:W3CDTF">2024-09-18T13:05:00Z</dcterms:created>
  <dcterms:modified xsi:type="dcterms:W3CDTF">2024-09-18T13:23:00Z</dcterms:modified>
</cp:coreProperties>
</file>